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350"/>
      </w:tblGrid>
      <w:tr>
        <w:trPr>
          <w:trHeight w:val="451" w:hRule="atLeast"/>
        </w:trPr>
        <w:tc>
          <w:tcPr>
            <w:tcW w:w="15350" w:type="dxa"/>
            <w:tcBorders/>
            <w:shd w:fill="auto" w:val="clear"/>
          </w:tcPr>
          <w:p>
            <w:pPr>
              <w:pStyle w:val="Title"/>
              <w:spacing w:lineRule="auto" w:line="276" w:before="115" w:after="115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2020-2021 Holly Pond Elementary ACIP</w:t>
            </w:r>
          </w:p>
        </w:tc>
      </w:tr>
      <w:tr>
        <w:trPr>
          <w:trHeight w:val="86" w:hRule="exact"/>
        </w:trPr>
        <w:tc>
          <w:tcPr>
            <w:tcW w:w="15350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5350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230" w:after="29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Holly Pond Elementary School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900" w:type="pct"/>
        <w:jc w:val="center"/>
        <w:tblInd w:w="0" w:type="dxa"/>
        <w:tblBorders>
          <w:top w:val="single" w:sz="8" w:space="0" w:color="CF6767"/>
          <w:left w:val="single" w:sz="8" w:space="0" w:color="CF6767"/>
          <w:bottom w:val="single" w:sz="8" w:space="0" w:color="CF6767"/>
          <w:right w:val="single" w:sz="8" w:space="0" w:color="CF6767"/>
          <w:insideH w:val="single" w:sz="8" w:space="0" w:color="CF6767"/>
          <w:insideV w:val="single" w:sz="8" w:space="0" w:color="CF6767"/>
        </w:tblBorders>
        <w:tblCellMar>
          <w:top w:w="29" w:type="dxa"/>
          <w:left w:w="105" w:type="dxa"/>
          <w:bottom w:w="29" w:type="dxa"/>
          <w:right w:w="115" w:type="dxa"/>
        </w:tblCellMar>
      </w:tblPr>
      <w:tblGrid>
        <w:gridCol w:w="4964"/>
        <w:gridCol w:w="149"/>
        <w:gridCol w:w="4964"/>
        <w:gridCol w:w="151"/>
        <w:gridCol w:w="4815"/>
      </w:tblGrid>
      <w:tr>
        <w:trPr>
          <w:trHeight w:val="3600" w:hRule="atLeast"/>
          <w:cantSplit w:val="true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Vision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0" w:name="__UnoMark__408580_2922697335"/>
            <w:bookmarkStart w:id="1" w:name="__UnoMark__408578_2922697335"/>
            <w:bookmarkStart w:id="2" w:name="__UnoMark__408576_2922697335"/>
            <w:bookmarkEnd w:id="0"/>
            <w:bookmarkEnd w:id="1"/>
            <w:bookmarkEnd w:id="2"/>
            <w:r>
              <w:rPr/>
              <w:t>Provide a safe, positive learning environment where stakeholders are valued parts of the school community. 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Mission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3" w:name="__UnoMark__408585_2922697335"/>
            <w:bookmarkStart w:id="4" w:name="__UnoMark__408583_2922697335"/>
            <w:bookmarkStart w:id="5" w:name="__UnoMark__408581_2922697335"/>
            <w:bookmarkEnd w:id="3"/>
            <w:bookmarkEnd w:id="4"/>
            <w:bookmarkEnd w:id="5"/>
            <w:r>
              <w:rPr/>
              <w:t>Helping Prepare Every Student to be a lifelong learner and leader. 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6.2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Beliefs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keepNext w:val="true"/>
              <w:bidi w:val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b w:val="false"/>
                <w:i w:val="false"/>
                <w:color w:val="000000"/>
                <w:sz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rPr/>
            </w:pPr>
            <w:r>
              <w:rPr/>
              <w:t>Stakeholders share responsibility for supporting the school mission.</w:t>
            </w:r>
          </w:p>
          <w:p>
            <w:pPr>
              <w:pStyle w:val="TextBody"/>
              <w:rPr/>
            </w:pPr>
            <w:r>
              <w:rPr/>
              <w:t>Students learn,achieve, and succeed at some level.</w:t>
            </w:r>
          </w:p>
          <w:p>
            <w:pPr>
              <w:pStyle w:val="TextBody"/>
              <w:rPr/>
            </w:pPr>
            <w:r>
              <w:rPr/>
              <w:t>Students are valued individuals with unique needs.</w:t>
            </w:r>
          </w:p>
          <w:p>
            <w:pPr>
              <w:pStyle w:val="TextBody"/>
              <w:rPr/>
            </w:pPr>
            <w:r>
              <w:rPr/>
              <w:t>Students' needs are met through a variety of learning opportunities in a safe yet challenging learning environment.  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spacing w:before="0" w:after="140"/>
              <w:rPr>
                <w:rFonts w:ascii="Calibri" w:hAnsi="Calibri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bookmarkStart w:id="6" w:name="__UnoMark__408590_2922697335"/>
            <w:bookmarkStart w:id="7" w:name="__UnoMark__408588_2922697335"/>
            <w:bookmarkStart w:id="8" w:name="__UnoMark__408586_2922697335"/>
            <w:bookmarkStart w:id="9" w:name="__UnoMark__408590_2922697335"/>
            <w:bookmarkStart w:id="10" w:name="__UnoMark__408588_2922697335"/>
            <w:bookmarkStart w:id="11" w:name="__UnoMark__408586_2922697335"/>
            <w:bookmarkEnd w:id="9"/>
            <w:bookmarkEnd w:id="10"/>
            <w:bookmarkEnd w:id="11"/>
            <w:r>
              <w:rPr>
                <w:b w:val="false"/>
                <w:i w:val="false"/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183890" cy="457200"/>
                  <wp:effectExtent l="0" t="0" r="0" b="0"/>
                  <wp:docPr id="9" name="imgfit_var_image1-DM-U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U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Achievement and Growth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Achievement and Growth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216275" cy="457200"/>
                  <wp:effectExtent l="0" t="0" r="0" b="0"/>
                  <wp:docPr id="11" name="imgfit_var_image2-DM-D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D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Learning Supports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Learning Supports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216910" cy="457200"/>
                  <wp:effectExtent l="0" t="0" r="0" b="0"/>
                  <wp:docPr id="13" name="imgfit_var_image3-DM-B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B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Performance Management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5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Performance Management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5" name="imgfit_var_objimage1-DM-P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P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7" name="imgfit_var_objimage2-DM-Y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Y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19" name="imgfit_var_objimage3-DM-I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I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opportunities for learning and high expectations to support student achievement and growth.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professional learning opportunities that support a culture to increase student achievement.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opportunities for stakeholder involvement.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program and processes to manage data and evaluate the implementation of initiatives.  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1" name="imgfit_var_initimage1-DM-J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J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3" name="imgfit_var_initimage2-DM-W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W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25" name="imgfit_var_initimage3-DM-Q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Q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 practices for differentiation to increase student achievement and growth.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Enhance standards based instruction through data collaboration, lesson development, and coaching opportunities. 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Utilize technology resources to enrich student engagement opportunities, and promote instructional support options. 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Alternative Educational Opportunities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learning opportunities to increase educator effectiveness. 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learning program to increase student achievement.</w:t>
            </w:r>
          </w:p>
          <w:p>
            <w:pPr>
              <w:pStyle w:val="Normal"/>
              <w:keepNext w:val="false"/>
              <w:numPr>
                <w:ilvl w:val="0"/>
                <w:numId w:val="0"/>
              </w:numPr>
              <w:pBdr/>
              <w:bidi w:val="0"/>
              <w:spacing w:lineRule="auto" w:line="240" w:before="0" w:after="0"/>
              <w:ind w:left="21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Promote cultures which support highly engaged and effective students, teachers, staff, and leadership.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Initiate collaborative opportunities for stakeholder involvement.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education resources to monitor performance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7" name="imgfit_var_keyimage1-DM-J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J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9" name="imgfit_var_keyimage2-DM-T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T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31" name="imgfit_var_keyimage3-DM-U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U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progress reports, grades,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meeting plans, Educator Effectiveness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Educator Effectiveness, Scantron, SeeSaw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Usage reports, student data, and survey reports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Data, Edmentum reports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surveys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Stakeholder survey results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Frontline, ELEOT, DIBELs, Scantron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footerReference w:type="default" r:id="rId14"/>
      <w:type w:val="nextPage"/>
      <w:pgSz w:orient="landscape" w:w="15840" w:h="12240"/>
      <w:pgMar w:left="245" w:right="245" w:header="0" w:top="432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4179"/>
      <w:gridCol w:w="4179"/>
      <w:gridCol w:w="4181"/>
    </w:tblGrid>
    <w:tr>
      <w:trPr/>
      <w:tc>
        <w:tcPr>
          <w:tcW w:w="4179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32" name="Image25-DM-D0Image25-DM-O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25-DM-D0Image25-DM-O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sz w:val="22"/>
              <w:szCs w:val="22"/>
            </w:rPr>
          </w:pPr>
          <w:r>
            <w:rPr>
              <w:rFonts w:ascii="Avenir" w:hAnsi="Avenir"/>
              <w:b/>
              <w:bCs/>
              <w:sz w:val="22"/>
              <w:szCs w:val="22"/>
            </w:rPr>
            <w:t>Strategy</w:t>
          </w:r>
          <w:r>
            <w:rPr>
              <w:rFonts w:ascii="Avenir" w:hAnsi="Avenir"/>
              <w:b/>
              <w:bCs/>
              <w:sz w:val="22"/>
              <w:szCs w:val="22"/>
            </w:rPr>
            <w:t xml:space="preserve"> </w:t>
          </w:r>
          <w:r>
            <w:rPr>
              <w:rFonts w:ascii="Avenir" w:hAnsi="Avenir"/>
              <w:b/>
              <w:bCs/>
              <w:sz w:val="22"/>
              <w:szCs w:val="22"/>
            </w:rPr>
            <w:t>Map</w:t>
          </w:r>
        </w:p>
      </w:tc>
      <w:tc>
        <w:tcPr>
          <w:tcW w:w="4181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kinsoku w:val="true"/>
      <w:overflowPunct w:val="true"/>
      <w:autoSpaceDE w:val="true"/>
      <w:bidi w:val="0"/>
      <w:spacing w:lineRule="auto" w:line="259" w:before="0" w:after="0"/>
      <w:jc w:val="left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</w:pPr>
    <w:rPr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115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style">
    <w:name w:val="Topstyle"/>
    <w:basedOn w:val="TableContents"/>
    <w:qFormat/>
    <w:pPr>
      <w:pBdr/>
      <w:tabs>
        <w:tab w:val="left" w:pos="72" w:leader="none"/>
      </w:tabs>
      <w:bidi w:val="0"/>
      <w:spacing w:before="0" w:after="0"/>
      <w:ind w:left="0" w:right="0" w:hanging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10383</TotalTime>
  <Application>LibreOffice/5.4.5.1$Windows_X86_64 LibreOffice_project/79c9829dd5d8054ec39a82dc51cd9eff340dbee8</Application>
  <Pages>2</Pages>
  <Words>260</Words>
  <Characters>1687</Characters>
  <CharactersWithSpaces>1912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2020-01-15T09:15:28Z</dcterms:modified>
  <cp:revision>937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